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764" w:rsidRPr="00E06B01" w:rsidRDefault="00D858AD">
      <w:pPr>
        <w:rPr>
          <w:u w:val="single"/>
        </w:rPr>
      </w:pPr>
      <w:r w:rsidRPr="00E06B01">
        <w:rPr>
          <w:u w:val="single"/>
        </w:rPr>
        <w:t>Data Collection</w:t>
      </w:r>
    </w:p>
    <w:p w:rsidR="00FA3E76" w:rsidRDefault="00D858AD" w:rsidP="00E06B01">
      <w:pPr>
        <w:ind w:firstLine="720"/>
      </w:pPr>
      <w:r>
        <w:t xml:space="preserve">We collected data from </w:t>
      </w:r>
      <w:hyperlink r:id="rId7" w:history="1">
        <w:r w:rsidRPr="0099102D">
          <w:rPr>
            <w:rStyle w:val="Hyperlink"/>
          </w:rPr>
          <w:t>www.Realtor.com</w:t>
        </w:r>
      </w:hyperlink>
      <w:r>
        <w:t xml:space="preserve"> in April, 2011 for all zip codes in the Atlanta, Boston, Chicago, Dallas, Los Angeles and Washington DC metropolitan statistical areas</w:t>
      </w:r>
      <w:r w:rsidR="00AC44B8">
        <w:t xml:space="preserve"> (“MSAs”)</w:t>
      </w:r>
      <w:r>
        <w:t xml:space="preserve">. </w:t>
      </w:r>
      <w:r w:rsidR="00FA3E76">
        <w:t>We gathered</w:t>
      </w:r>
      <w:r>
        <w:t xml:space="preserve"> information on all single-family homes</w:t>
      </w:r>
      <w:r w:rsidR="00E004DA">
        <w:t>, townhomes, and condominiums</w:t>
      </w:r>
      <w:r>
        <w:t xml:space="preserve"> within each zip code, including the </w:t>
      </w:r>
      <w:r w:rsidR="00E004DA">
        <w:t>dwelling</w:t>
      </w:r>
      <w:r>
        <w:t xml:space="preserve">’s address, city, </w:t>
      </w:r>
      <w:r w:rsidR="007B7964">
        <w:t>lot size</w:t>
      </w:r>
      <w:r>
        <w:t>, bedrooms, bathrooms, listing broker, and unique URL link.</w:t>
      </w:r>
      <w:r w:rsidR="00E004DA">
        <w:t xml:space="preserve"> Overall, our web scraping program attempted to collect information from </w:t>
      </w:r>
      <w:r w:rsidR="00FA3E76">
        <w:t>nearly 3,000</w:t>
      </w:r>
      <w:r w:rsidR="00E004DA">
        <w:t xml:space="preserve"> zip codes within these six MSAs</w:t>
      </w:r>
      <w:r w:rsidR="00FA3E76">
        <w:t>; within those zip codes, our program collected approximately 300,000 listings.</w:t>
      </w:r>
    </w:p>
    <w:p w:rsidR="00FA3E76" w:rsidRDefault="004E6595" w:rsidP="00FA3E76">
      <w:pPr>
        <w:ind w:firstLine="720"/>
      </w:pPr>
      <w:r>
        <w:t xml:space="preserve">Some </w:t>
      </w:r>
      <w:r w:rsidR="00E004DA">
        <w:t xml:space="preserve">zip codes, in fact, did not contain any listings, most often because they </w:t>
      </w:r>
      <w:r w:rsidR="00FA3E76">
        <w:t>we</w:t>
      </w:r>
      <w:r w:rsidR="00E004DA">
        <w:t xml:space="preserve">re PO Boxes or </w:t>
      </w:r>
      <w:r w:rsidR="00FA3E76">
        <w:t>unique</w:t>
      </w:r>
      <w:r w:rsidR="00E004DA">
        <w:t xml:space="preserve"> zip codes</w:t>
      </w:r>
      <w:r>
        <w:t xml:space="preserve"> (for example, related to a government facility)</w:t>
      </w:r>
      <w:r w:rsidR="00E004DA">
        <w:t>. Overall, 1</w:t>
      </w:r>
      <w:r>
        <w:t>,</w:t>
      </w:r>
      <w:r w:rsidR="00D1448D">
        <w:t>884</w:t>
      </w:r>
      <w:r w:rsidR="00E004DA">
        <w:t xml:space="preserve"> zip codes had at least one </w:t>
      </w:r>
      <w:r w:rsidR="00FA3E76">
        <w:t>real estate listing. S</w:t>
      </w:r>
      <w:r w:rsidR="005A5B2B">
        <w:t xml:space="preserve">ome </w:t>
      </w:r>
      <w:r w:rsidR="00FA3E76">
        <w:t xml:space="preserve">housing </w:t>
      </w:r>
      <w:r w:rsidR="005A5B2B">
        <w:t xml:space="preserve">markets </w:t>
      </w:r>
      <w:r w:rsidR="00FA3E76">
        <w:t>appeared to be considerably</w:t>
      </w:r>
      <w:r w:rsidR="005A5B2B">
        <w:t xml:space="preserve"> “softer” than others. For example, Atlanta had </w:t>
      </w:r>
      <w:r w:rsidR="00FA3E76">
        <w:t>265 real estate listings per zip code, more than four times higher than Boston.</w:t>
      </w:r>
    </w:p>
    <w:p w:rsidR="00AC44B8" w:rsidRDefault="00E06B01" w:rsidP="00E06B01">
      <w:pPr>
        <w:ind w:firstLine="720"/>
      </w:pPr>
      <w:r>
        <w:t>From th</w:t>
      </w:r>
      <w:r w:rsidR="00FA3E76">
        <w:t>e</w:t>
      </w:r>
      <w:r>
        <w:t xml:space="preserve"> core data set of 314,232 </w:t>
      </w:r>
      <w:r w:rsidR="00FA3E76">
        <w:t xml:space="preserve">real estate </w:t>
      </w:r>
      <w:r>
        <w:t>listings, we create</w:t>
      </w:r>
      <w:r w:rsidR="00AC44B8">
        <w:t>d</w:t>
      </w:r>
      <w:r>
        <w:t xml:space="preserve"> firms. This is a non-trivial task, because real estate listings by the same </w:t>
      </w:r>
      <w:r w:rsidR="004E6595">
        <w:t>office</w:t>
      </w:r>
      <w:r>
        <w:t xml:space="preserve"> can often have slightl</w:t>
      </w:r>
      <w:r w:rsidR="00FA3E76">
        <w:t xml:space="preserve">y different names. </w:t>
      </w:r>
      <w:r w:rsidR="009128D8">
        <w:t>Consider, for example, the Keller Williams franchise in Atlanta. According to the Keller Williams website, there are 32 offices in the Atlanta area.</w:t>
      </w:r>
      <w:r w:rsidR="009128D8">
        <w:rPr>
          <w:rStyle w:val="FootnoteReference"/>
        </w:rPr>
        <w:footnoteReference w:id="1"/>
      </w:r>
      <w:r w:rsidR="009128D8">
        <w:t xml:space="preserve"> One of the larger offices is “Keller Williams Realty Atlanta Partners”. Various listings</w:t>
      </w:r>
      <w:r w:rsidR="004E6595">
        <w:t xml:space="preserve"> in Atlanta</w:t>
      </w:r>
      <w:r w:rsidR="009128D8">
        <w:t xml:space="preserve"> substitute the word “</w:t>
      </w:r>
      <w:proofErr w:type="spellStart"/>
      <w:r w:rsidR="009128D8">
        <w:t>Ptnrs</w:t>
      </w:r>
      <w:proofErr w:type="spellEnd"/>
      <w:r w:rsidR="009128D8">
        <w:t>” or “Part” or “Part.” or “</w:t>
      </w:r>
      <w:proofErr w:type="spellStart"/>
      <w:r w:rsidR="00B36C00">
        <w:t>Ptnr</w:t>
      </w:r>
      <w:proofErr w:type="spellEnd"/>
      <w:r w:rsidR="00B36C00">
        <w:t>” for the word “Partners”. Other listings substitute the word “</w:t>
      </w:r>
      <w:proofErr w:type="spellStart"/>
      <w:r w:rsidR="00B36C00">
        <w:t>Atl</w:t>
      </w:r>
      <w:proofErr w:type="spellEnd"/>
      <w:r w:rsidR="00B36C00">
        <w:t>” or “Atl.” for the word “Atlanta”. Some other listings substitute “</w:t>
      </w:r>
      <w:proofErr w:type="spellStart"/>
      <w:r w:rsidR="00B36C00">
        <w:t>Rlty</w:t>
      </w:r>
      <w:proofErr w:type="spellEnd"/>
      <w:r w:rsidR="00B36C00">
        <w:t>” or “Re” for the word “Realty”. A</w:t>
      </w:r>
      <w:r w:rsidR="004E6595">
        <w:t xml:space="preserve">nd a </w:t>
      </w:r>
      <w:r w:rsidR="00B36C00">
        <w:t xml:space="preserve">few listings use the abbreviations “KW” or “Keller </w:t>
      </w:r>
      <w:proofErr w:type="spellStart"/>
      <w:r w:rsidR="00B36C00">
        <w:t>Wms</w:t>
      </w:r>
      <w:proofErr w:type="spellEnd"/>
      <w:r w:rsidR="00B36C00">
        <w:t>” for “Keller Williams”.</w:t>
      </w:r>
      <w:r w:rsidR="004E6595">
        <w:t xml:space="preserve"> Overall, across the six MSAs, there were 18,825 unique names for offices or firms, although from th</w:t>
      </w:r>
      <w:r w:rsidR="00AC44B8">
        <w:t>is</w:t>
      </w:r>
      <w:r w:rsidR="004E6595">
        <w:t xml:space="preserve"> example, some offices appear to have more than one name in the data.</w:t>
      </w:r>
    </w:p>
    <w:p w:rsidR="00F907B3" w:rsidRDefault="004E6595" w:rsidP="00E06B01">
      <w:pPr>
        <w:ind w:firstLine="720"/>
      </w:pPr>
      <w:r>
        <w:t xml:space="preserve">A particularly time-intensive task was editing the firm names in defensible ways, in order to create </w:t>
      </w:r>
      <w:r w:rsidR="00AC44B8">
        <w:t>the</w:t>
      </w:r>
      <w:r>
        <w:t xml:space="preserve"> HHI. Our first approach was to make extremely minor changes to of</w:t>
      </w:r>
      <w:r w:rsidR="00AC44B8">
        <w:t>fice names, and then consider each</w:t>
      </w:r>
      <w:r>
        <w:t xml:space="preserve"> office to be a unique firm. These minor changes included changing all lower case letters to upper case, removing extra spaces, dashes, periods, commas, </w:t>
      </w:r>
      <w:r w:rsidR="00D1448D">
        <w:t xml:space="preserve">slashes, explanation points, and converting obvious abbreviations (e.g. “C 21” to “CENTURY 21”). Based on this approach, there were a total of 16,264 firms across the six MSAs, varying from 1,767 in Boston to 5,855 in Los Angeles. Given that some of the offices are surely part of a larger firm, then this “minor change” approach </w:t>
      </w:r>
      <w:r w:rsidR="00D1448D">
        <w:rPr>
          <w:i/>
        </w:rPr>
        <w:t>understates</w:t>
      </w:r>
      <w:r w:rsidR="00D1448D">
        <w:t xml:space="preserve"> the HHI in the locality. Our second approach was to make “major edits”, the most important of which is grouping all listings with a</w:t>
      </w:r>
      <w:r w:rsidR="00AC44B8">
        <w:t xml:space="preserve"> given</w:t>
      </w:r>
      <w:r w:rsidR="00D1448D">
        <w:t xml:space="preserve"> franchise name as being in the same firm. For example, this approach would group the 32 Keller Williams offices in Atlanta into one firm. As a consequence, we likely </w:t>
      </w:r>
      <w:r w:rsidR="00D1448D">
        <w:rPr>
          <w:i/>
        </w:rPr>
        <w:t>overstate</w:t>
      </w:r>
      <w:r w:rsidR="00D1448D">
        <w:t xml:space="preserve"> market concentration. The “major edit” approach leads to 14,922 firms across all areas, varying from 1,618 in Boston to 5,296 in Los Angeles.</w:t>
      </w:r>
      <w:r w:rsidR="00AC44B8">
        <w:t xml:space="preserve"> These two approaches, therefore, provide lower and upper bounds on the competitiveness in a given market.</w:t>
      </w:r>
    </w:p>
    <w:p w:rsidR="00D1448D" w:rsidRDefault="00D1448D" w:rsidP="00E06B01">
      <w:pPr>
        <w:ind w:firstLine="720"/>
      </w:pPr>
      <w:r>
        <w:t xml:space="preserve">From the initial 1,884 zip codes with real estate listings in the MSAs, we created various geographies besides the MSA. In one specification, we restrict zip codes to those that are officially in the </w:t>
      </w:r>
      <w:r>
        <w:lastRenderedPageBreak/>
        <w:t>central city according to the US Postal Service.</w:t>
      </w:r>
      <w:r>
        <w:rPr>
          <w:rStyle w:val="FootnoteReference"/>
        </w:rPr>
        <w:footnoteReference w:id="2"/>
      </w:r>
      <w:r>
        <w:t xml:space="preserve"> These political jurisdictions yield many fewer zip codes, as illustrated in the appendix table. In another specification, we rely on agent-reported city names, even if the city name is inconsistent with the official name in the zip code.</w:t>
      </w:r>
      <w:r w:rsidR="00F60E8E">
        <w:t xml:space="preserve"> This again yields many fewer zip codes.</w:t>
      </w:r>
    </w:p>
    <w:p w:rsidR="00D858AD" w:rsidRDefault="00F60E8E" w:rsidP="00AC44B8">
      <w:pPr>
        <w:ind w:firstLine="720"/>
      </w:pPr>
      <w:r>
        <w:t xml:space="preserve">The MSA sample of zip codes forms the starting point for much of our analysis on disparities in competition by income, house value, or race. From the initial sample of 1,884 zip codes, we restrict the sample to the 1,361 zip codes with at least 50 or more real estate listings. By doing so, we believe that our computation of HHI will not be mechanically influenced by small sample sizes (for example, the HHI must be 10,000 if there is only one listing in a zip code, and cannot be lower than 5,000 if there are two listings). We then appended data from “Census </w:t>
      </w:r>
      <w:proofErr w:type="spellStart"/>
      <w:r>
        <w:t>Factfinder</w:t>
      </w:r>
      <w:proofErr w:type="spellEnd"/>
      <w:r>
        <w:t>,” drawing on the 2000 Census.</w:t>
      </w:r>
      <w:r>
        <w:rPr>
          <w:rStyle w:val="FootnoteReference"/>
        </w:rPr>
        <w:footnoteReference w:id="3"/>
      </w:r>
      <w:r>
        <w:t xml:space="preserve"> Overall, approximately 97 percent of zip codes – or 1,321 of 1,361 – had information tabulated from the </w:t>
      </w:r>
      <w:r w:rsidR="00AC44B8">
        <w:t xml:space="preserve">decennial Census. We chose three critical characteristics at the zip code level – median value of single-family owner-occupied homes, median family income, and percent white – from the </w:t>
      </w:r>
      <w:proofErr w:type="spellStart"/>
      <w:r w:rsidR="00AC44B8">
        <w:t>Factfinder</w:t>
      </w:r>
      <w:proofErr w:type="spellEnd"/>
      <w:r w:rsidR="00AC44B8">
        <w:t xml:space="preserve"> tool.</w:t>
      </w:r>
    </w:p>
    <w:sectPr w:rsidR="00D858AD" w:rsidSect="0033776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3B88" w:rsidRDefault="00B03B88" w:rsidP="009128D8">
      <w:pPr>
        <w:spacing w:after="0" w:line="240" w:lineRule="auto"/>
      </w:pPr>
      <w:r>
        <w:separator/>
      </w:r>
    </w:p>
  </w:endnote>
  <w:endnote w:type="continuationSeparator" w:id="0">
    <w:p w:rsidR="00B03B88" w:rsidRDefault="00B03B88" w:rsidP="009128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3B88" w:rsidRDefault="00B03B88" w:rsidP="009128D8">
      <w:pPr>
        <w:spacing w:after="0" w:line="240" w:lineRule="auto"/>
      </w:pPr>
      <w:r>
        <w:separator/>
      </w:r>
    </w:p>
  </w:footnote>
  <w:footnote w:type="continuationSeparator" w:id="0">
    <w:p w:rsidR="00B03B88" w:rsidRDefault="00B03B88" w:rsidP="009128D8">
      <w:pPr>
        <w:spacing w:after="0" w:line="240" w:lineRule="auto"/>
      </w:pPr>
      <w:r>
        <w:continuationSeparator/>
      </w:r>
    </w:p>
  </w:footnote>
  <w:footnote w:id="1">
    <w:p w:rsidR="009128D8" w:rsidRDefault="009128D8">
      <w:pPr>
        <w:pStyle w:val="FootnoteText"/>
      </w:pPr>
      <w:r>
        <w:rPr>
          <w:rStyle w:val="FootnoteReference"/>
        </w:rPr>
        <w:footnoteRef/>
      </w:r>
      <w:r>
        <w:t xml:space="preserve"> See </w:t>
      </w:r>
      <w:hyperlink r:id="rId1" w:history="1">
        <w:r w:rsidRPr="00E52B21">
          <w:rPr>
            <w:rStyle w:val="Hyperlink"/>
          </w:rPr>
          <w:t>http://www.kw.com/kw/OfficeSearchSubmit.action?startRow=1&amp;rows=50&amp;city=Atlanta&amp;stateProvId=GA&amp;zip</w:t>
        </w:r>
      </w:hyperlink>
      <w:r w:rsidRPr="009128D8">
        <w:t>=</w:t>
      </w:r>
      <w:r>
        <w:t xml:space="preserve"> </w:t>
      </w:r>
    </w:p>
  </w:footnote>
  <w:footnote w:id="2">
    <w:p w:rsidR="00D1448D" w:rsidRDefault="00D1448D">
      <w:pPr>
        <w:pStyle w:val="FootnoteText"/>
      </w:pPr>
      <w:r>
        <w:rPr>
          <w:rStyle w:val="FootnoteReference"/>
        </w:rPr>
        <w:footnoteRef/>
      </w:r>
      <w:r>
        <w:t xml:space="preserve"> See </w:t>
      </w:r>
      <w:hyperlink r:id="rId2" w:history="1">
        <w:r w:rsidRPr="00E52B21">
          <w:rPr>
            <w:rStyle w:val="Hyperlink"/>
            <w:rFonts w:ascii="Calibri" w:eastAsia="Times New Roman" w:hAnsi="Calibri" w:cs="Times New Roman"/>
          </w:rPr>
          <w:t>http://zip4.usps.com/zip4/citytown.jsp</w:t>
        </w:r>
      </w:hyperlink>
      <w:r>
        <w:rPr>
          <w:rFonts w:ascii="Calibri" w:eastAsia="Times New Roman" w:hAnsi="Calibri" w:cs="Times New Roman"/>
          <w:color w:val="000000"/>
        </w:rPr>
        <w:t>, where the central cities are Atlanta, Boston, Chicago, Dallas, Los Angeles and Washington.</w:t>
      </w:r>
    </w:p>
  </w:footnote>
  <w:footnote w:id="3">
    <w:p w:rsidR="00F60E8E" w:rsidRDefault="00F60E8E">
      <w:pPr>
        <w:pStyle w:val="FootnoteText"/>
      </w:pPr>
      <w:r>
        <w:rPr>
          <w:rStyle w:val="FootnoteReference"/>
        </w:rPr>
        <w:footnoteRef/>
      </w:r>
      <w:r>
        <w:t xml:space="preserve"> See </w:t>
      </w:r>
      <w:hyperlink r:id="rId3" w:history="1">
        <w:r w:rsidRPr="00E52B21">
          <w:rPr>
            <w:rStyle w:val="Hyperlink"/>
          </w:rPr>
          <w:t>http://factfinder.census.gov/</w:t>
        </w:r>
      </w:hyperlink>
      <w:r>
        <w:t xml:space="preserve">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858AD"/>
    <w:rsid w:val="00337764"/>
    <w:rsid w:val="004E6595"/>
    <w:rsid w:val="005A5B2B"/>
    <w:rsid w:val="007B7964"/>
    <w:rsid w:val="009128D8"/>
    <w:rsid w:val="00A275F8"/>
    <w:rsid w:val="00AC44B8"/>
    <w:rsid w:val="00B03B88"/>
    <w:rsid w:val="00B36C00"/>
    <w:rsid w:val="00BD0F65"/>
    <w:rsid w:val="00D1448D"/>
    <w:rsid w:val="00D55F8E"/>
    <w:rsid w:val="00D858AD"/>
    <w:rsid w:val="00E004DA"/>
    <w:rsid w:val="00E06B01"/>
    <w:rsid w:val="00F60E8E"/>
    <w:rsid w:val="00F907B3"/>
    <w:rsid w:val="00FA3E76"/>
    <w:rsid w:val="00FC0A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76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858AD"/>
    <w:rPr>
      <w:color w:val="0000FF" w:themeColor="hyperlink"/>
      <w:u w:val="single"/>
    </w:rPr>
  </w:style>
  <w:style w:type="paragraph" w:styleId="FootnoteText">
    <w:name w:val="footnote text"/>
    <w:basedOn w:val="Normal"/>
    <w:link w:val="FootnoteTextChar"/>
    <w:uiPriority w:val="99"/>
    <w:semiHidden/>
    <w:unhideWhenUsed/>
    <w:rsid w:val="009128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28D8"/>
    <w:rPr>
      <w:sz w:val="20"/>
      <w:szCs w:val="20"/>
    </w:rPr>
  </w:style>
  <w:style w:type="character" w:styleId="FootnoteReference">
    <w:name w:val="footnote reference"/>
    <w:basedOn w:val="DefaultParagraphFont"/>
    <w:uiPriority w:val="99"/>
    <w:semiHidden/>
    <w:unhideWhenUsed/>
    <w:rsid w:val="009128D8"/>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ealtor.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factfinder.census.gov/" TargetMode="External"/><Relationship Id="rId2" Type="http://schemas.openxmlformats.org/officeDocument/2006/relationships/hyperlink" Target="http://zip4.usps.com/zip4/citytown.jsp" TargetMode="External"/><Relationship Id="rId1" Type="http://schemas.openxmlformats.org/officeDocument/2006/relationships/hyperlink" Target="http://www.kw.com/kw/OfficeSearchSubmit.action?startRow=1&amp;rows=50&amp;city=Atlanta&amp;stateProvId=GA&amp;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BBE22-2FAB-47F9-BE62-374E60CBB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Kentucky</Company>
  <LinksUpToDate>false</LinksUpToDate>
  <CharactersWithSpaces>4660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yelowitz</dc:creator>
  <cp:keywords/>
  <dc:description/>
  <cp:lastModifiedBy>yelowitz</cp:lastModifiedBy>
  <cp:revision>7</cp:revision>
  <dcterms:created xsi:type="dcterms:W3CDTF">2011-11-29T14:19:00Z</dcterms:created>
  <dcterms:modified xsi:type="dcterms:W3CDTF">2011-11-29T18:12:00Z</dcterms:modified>
</cp:coreProperties>
</file>